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AD9F" w14:textId="2589CACB" w:rsidR="00A008D5" w:rsidRPr="007D5638" w:rsidRDefault="00A008D5" w:rsidP="00A008D5">
      <w:pPr>
        <w:spacing w:after="24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832CE18" wp14:editId="5148ABE2">
            <wp:extent cx="2133600" cy="744867"/>
            <wp:effectExtent l="0" t="0" r="0" b="0"/>
            <wp:docPr id="1" name="Picture 1" descr="Gas Safe Cha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 Safe Charit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772" cy="76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AB3BE" w14:textId="0C748370" w:rsidR="00A008D5" w:rsidRDefault="00A008D5" w:rsidP="00A008D5">
      <w:pPr>
        <w:spacing w:after="24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5638">
        <w:rPr>
          <w:rFonts w:asciiTheme="minorHAnsi" w:hAnsiTheme="minorHAnsi" w:cstheme="minorHAnsi"/>
          <w:b/>
          <w:bCs/>
          <w:sz w:val="28"/>
          <w:szCs w:val="28"/>
        </w:rPr>
        <w:t>Trustee Role Description</w:t>
      </w:r>
      <w:r w:rsidR="007041B4">
        <w:rPr>
          <w:rFonts w:asciiTheme="minorHAnsi" w:hAnsiTheme="minorHAnsi" w:cstheme="minorHAnsi"/>
          <w:b/>
          <w:bCs/>
          <w:sz w:val="28"/>
          <w:szCs w:val="28"/>
        </w:rPr>
        <w:t xml:space="preserve"> and Person Specification</w:t>
      </w:r>
    </w:p>
    <w:p w14:paraId="73BF07EF" w14:textId="64880195" w:rsidR="004D58FB" w:rsidRPr="000E45E8" w:rsidRDefault="004D58FB" w:rsidP="007D5638">
      <w:pPr>
        <w:spacing w:after="240" w:line="252" w:lineRule="auto"/>
        <w:rPr>
          <w:rFonts w:asciiTheme="minorHAnsi" w:hAnsiTheme="minorHAnsi" w:cstheme="minorHAnsi"/>
        </w:rPr>
      </w:pPr>
      <w:r w:rsidRPr="000E45E8">
        <w:rPr>
          <w:rFonts w:asciiTheme="minorHAnsi" w:hAnsiTheme="minorHAnsi" w:cstheme="minorHAnsi"/>
        </w:rPr>
        <w:t xml:space="preserve">The Gas Safe Charity is a Registered Charity and a company limited by guarantee, governed by a Board of Trustees.  The Board of Trustees is responsible for the effective governance of the charity, ensuring it delivers the Charity’s </w:t>
      </w:r>
      <w:r w:rsidR="000846DF">
        <w:rPr>
          <w:rFonts w:asciiTheme="minorHAnsi" w:hAnsiTheme="minorHAnsi" w:cstheme="minorHAnsi"/>
        </w:rPr>
        <w:t>charitable</w:t>
      </w:r>
      <w:r w:rsidR="006F0919">
        <w:rPr>
          <w:rFonts w:asciiTheme="minorHAnsi" w:hAnsiTheme="minorHAnsi" w:cstheme="minorHAnsi"/>
        </w:rPr>
        <w:t xml:space="preserve"> Object and its </w:t>
      </w:r>
      <w:r w:rsidRPr="000E45E8">
        <w:rPr>
          <w:rFonts w:asciiTheme="minorHAnsi" w:hAnsiTheme="minorHAnsi" w:cstheme="minorHAnsi"/>
        </w:rPr>
        <w:t xml:space="preserve">agreed aims and objectives.  </w:t>
      </w:r>
    </w:p>
    <w:p w14:paraId="2FDBA483" w14:textId="61323162" w:rsidR="004D58FB" w:rsidRPr="000E45E8" w:rsidRDefault="004D58FB" w:rsidP="007D5638">
      <w:pPr>
        <w:spacing w:line="252" w:lineRule="auto"/>
        <w:rPr>
          <w:rFonts w:asciiTheme="minorHAnsi" w:hAnsiTheme="minorHAnsi" w:cstheme="minorHAnsi"/>
          <w:b/>
          <w:bCs/>
        </w:rPr>
      </w:pPr>
      <w:r w:rsidRPr="000E45E8">
        <w:rPr>
          <w:rFonts w:asciiTheme="minorHAnsi" w:hAnsiTheme="minorHAnsi" w:cstheme="minorHAnsi"/>
          <w:b/>
          <w:bCs/>
        </w:rPr>
        <w:t>Time commitment</w:t>
      </w:r>
    </w:p>
    <w:p w14:paraId="5D9D6D84" w14:textId="3614C15E" w:rsidR="004D58FB" w:rsidRPr="000E45E8" w:rsidRDefault="004D58FB" w:rsidP="007D5638">
      <w:pPr>
        <w:spacing w:line="252" w:lineRule="auto"/>
        <w:rPr>
          <w:rFonts w:asciiTheme="minorHAnsi" w:hAnsiTheme="minorHAnsi" w:cstheme="minorHAnsi"/>
        </w:rPr>
      </w:pPr>
      <w:r w:rsidRPr="000E45E8">
        <w:rPr>
          <w:rFonts w:asciiTheme="minorHAnsi" w:hAnsiTheme="minorHAnsi" w:cstheme="minorHAnsi"/>
        </w:rPr>
        <w:t>Trustees are expected to attend six Board meetings a year</w:t>
      </w:r>
      <w:r w:rsidR="006B045B">
        <w:rPr>
          <w:rFonts w:asciiTheme="minorHAnsi" w:hAnsiTheme="minorHAnsi" w:cstheme="minorHAnsi"/>
        </w:rPr>
        <w:t xml:space="preserve"> during the day</w:t>
      </w:r>
      <w:r w:rsidRPr="000E45E8">
        <w:rPr>
          <w:rFonts w:asciiTheme="minorHAnsi" w:hAnsiTheme="minorHAnsi" w:cstheme="minorHAnsi"/>
        </w:rPr>
        <w:t xml:space="preserve">, plus an Awayday.  </w:t>
      </w:r>
      <w:r w:rsidR="006B045B">
        <w:rPr>
          <w:rFonts w:asciiTheme="minorHAnsi" w:hAnsiTheme="minorHAnsi" w:cstheme="minorHAnsi"/>
        </w:rPr>
        <w:t xml:space="preserve">Around half the meetings are held in person and the others are held via Zoom.   </w:t>
      </w:r>
      <w:r w:rsidRPr="000E45E8">
        <w:rPr>
          <w:rFonts w:asciiTheme="minorHAnsi" w:hAnsiTheme="minorHAnsi" w:cstheme="minorHAnsi"/>
        </w:rPr>
        <w:t xml:space="preserve">In addition, Trustees may be a member of one of the Project Review Groups or lead on specific </w:t>
      </w:r>
      <w:r w:rsidR="009F7CB7" w:rsidRPr="000E45E8">
        <w:rPr>
          <w:rFonts w:asciiTheme="minorHAnsi" w:hAnsiTheme="minorHAnsi" w:cstheme="minorHAnsi"/>
        </w:rPr>
        <w:t>project</w:t>
      </w:r>
      <w:r w:rsidR="006B045B">
        <w:rPr>
          <w:rFonts w:asciiTheme="minorHAnsi" w:hAnsiTheme="minorHAnsi" w:cstheme="minorHAnsi"/>
        </w:rPr>
        <w:t>s</w:t>
      </w:r>
      <w:r w:rsidR="009F7CB7" w:rsidRPr="000E45E8">
        <w:rPr>
          <w:rFonts w:asciiTheme="minorHAnsi" w:hAnsiTheme="minorHAnsi" w:cstheme="minorHAnsi"/>
        </w:rPr>
        <w:t xml:space="preserve">.  </w:t>
      </w:r>
      <w:r w:rsidRPr="000E45E8">
        <w:rPr>
          <w:rFonts w:asciiTheme="minorHAnsi" w:hAnsiTheme="minorHAnsi" w:cstheme="minorHAnsi"/>
        </w:rPr>
        <w:t xml:space="preserve">The expected time commitment is approximately one day a month. </w:t>
      </w:r>
    </w:p>
    <w:p w14:paraId="5CA3EE1D" w14:textId="77777777" w:rsidR="004D58FB" w:rsidRPr="000E45E8" w:rsidRDefault="004D58FB" w:rsidP="007D5638">
      <w:pPr>
        <w:spacing w:line="252" w:lineRule="auto"/>
        <w:rPr>
          <w:rFonts w:asciiTheme="minorHAnsi" w:hAnsiTheme="minorHAnsi" w:cstheme="minorHAnsi"/>
        </w:rPr>
      </w:pPr>
    </w:p>
    <w:p w14:paraId="268D3883" w14:textId="599FC941" w:rsidR="00A008D5" w:rsidRDefault="00A008D5" w:rsidP="007D5638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/>
          <w:color w:val="1A1718"/>
          <w:lang w:eastAsia="en-GB"/>
        </w:rPr>
      </w:pPr>
      <w:r>
        <w:rPr>
          <w:rFonts w:asciiTheme="minorHAnsi" w:hAnsiTheme="minorHAnsi" w:cstheme="minorHAnsi"/>
          <w:b/>
          <w:color w:val="1A1718"/>
          <w:lang w:eastAsia="en-GB"/>
        </w:rPr>
        <w:t xml:space="preserve">Role Description </w:t>
      </w:r>
    </w:p>
    <w:p w14:paraId="61F89E19" w14:textId="6CE31DCD" w:rsidR="00A008D5" w:rsidRDefault="00A008D5" w:rsidP="007D5638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/>
          <w:color w:val="1A1718"/>
          <w:lang w:eastAsia="en-GB"/>
        </w:rPr>
      </w:pPr>
    </w:p>
    <w:p w14:paraId="5FFB3190" w14:textId="6F032144" w:rsidR="007041B4" w:rsidRPr="001F6294" w:rsidRDefault="007041B4" w:rsidP="007D5638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/>
          <w:color w:val="1A1718"/>
          <w:lang w:eastAsia="en-GB"/>
        </w:rPr>
      </w:pPr>
      <w:r w:rsidRPr="001F6294">
        <w:rPr>
          <w:rFonts w:asciiTheme="minorHAnsi" w:hAnsiTheme="minorHAnsi" w:cstheme="minorHAnsi"/>
          <w:b/>
          <w:color w:val="1A1718"/>
          <w:lang w:eastAsia="en-GB"/>
        </w:rPr>
        <w:t>All our Trustees:</w:t>
      </w:r>
    </w:p>
    <w:p w14:paraId="662027C2" w14:textId="7AA239A1" w:rsidR="007041B4" w:rsidRPr="001F6294" w:rsidRDefault="007041B4" w:rsidP="007D5638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/>
          <w:color w:val="1A1718"/>
          <w:lang w:eastAsia="en-GB"/>
        </w:rPr>
      </w:pPr>
    </w:p>
    <w:p w14:paraId="6CC2FBC9" w14:textId="77777777" w:rsidR="007041B4" w:rsidRPr="001F6294" w:rsidRDefault="007041B4" w:rsidP="007041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hAnsiTheme="minorHAnsi" w:cstheme="minorHAnsi"/>
        </w:rPr>
        <w:t xml:space="preserve">Are </w:t>
      </w:r>
      <w:proofErr w:type="gramStart"/>
      <w:r w:rsidRPr="001F6294">
        <w:rPr>
          <w:rFonts w:asciiTheme="minorHAnsi" w:hAnsiTheme="minorHAnsi" w:cstheme="minorHAnsi"/>
        </w:rPr>
        <w:t>committed to Gas Safe Charity and act in its interests at all times</w:t>
      </w:r>
      <w:proofErr w:type="gramEnd"/>
      <w:r w:rsidRPr="001F6294">
        <w:rPr>
          <w:rFonts w:asciiTheme="minorHAnsi" w:hAnsiTheme="minorHAnsi" w:cstheme="minorHAnsi"/>
        </w:rPr>
        <w:t xml:space="preserve">, safeguarding our reputation and values and ensuring we pursue and deliver our charitable objects and purpose. </w:t>
      </w:r>
    </w:p>
    <w:p w14:paraId="3F38D076" w14:textId="77777777" w:rsidR="001F6294" w:rsidRPr="001F6294" w:rsidRDefault="007041B4" w:rsidP="001F62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hAnsiTheme="minorHAnsi" w:cstheme="minorHAnsi"/>
        </w:rPr>
        <w:t xml:space="preserve">Have an understanding and acceptance of the legal duties and regulatory duties, responsibilities and liabilities of Trusteeship </w:t>
      </w:r>
    </w:p>
    <w:p w14:paraId="59EFA959" w14:textId="77777777" w:rsidR="001F6294" w:rsidRPr="001F6294" w:rsidRDefault="001F6294" w:rsidP="001F62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eastAsia="Helvetica Neue" w:hAnsiTheme="minorHAnsi" w:cstheme="minorHAnsi"/>
        </w:rPr>
        <w:t xml:space="preserve">Bring positive, independent judgement and the ability to think creatively and to constructively challenge to secure the continued growth of our organisation. </w:t>
      </w:r>
    </w:p>
    <w:p w14:paraId="4473E75A" w14:textId="60D5244B" w:rsidR="001F6294" w:rsidRPr="001F6294" w:rsidRDefault="001F6294" w:rsidP="001F62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eastAsia="Helvetica Neue" w:hAnsiTheme="minorHAnsi" w:cstheme="minorHAnsi"/>
        </w:rPr>
        <w:t xml:space="preserve">Work effectively as a member of the Board and recognise, respect and welcome diverse, different and, at times, conflicting views of colleagues. </w:t>
      </w:r>
    </w:p>
    <w:p w14:paraId="161656BE" w14:textId="77777777" w:rsidR="001F6294" w:rsidRPr="001F6294" w:rsidRDefault="001F6294" w:rsidP="001F62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eastAsia="Helvetica Neue" w:hAnsiTheme="minorHAnsi" w:cstheme="minorHAnsi"/>
        </w:rPr>
        <w:t xml:space="preserve">Prepare for, attend and participate actively in Board meetings and in support of allocated lead roles, working groups or other governance functions. </w:t>
      </w:r>
    </w:p>
    <w:p w14:paraId="62AEB55A" w14:textId="586AD911" w:rsidR="001F6294" w:rsidRPr="001F6294" w:rsidRDefault="001F6294" w:rsidP="001F62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eastAsia="Helvetica Neue" w:hAnsiTheme="minorHAnsi" w:cstheme="minorHAnsi"/>
        </w:rPr>
        <w:t>Will maintain confidentiality about any sensitive and confidential information received as a Trustee and take appropriate action when required.</w:t>
      </w:r>
    </w:p>
    <w:p w14:paraId="5BDA4C5C" w14:textId="77777777" w:rsidR="001F6294" w:rsidRPr="001F6294" w:rsidRDefault="001F6294" w:rsidP="001F6294">
      <w:pPr>
        <w:autoSpaceDE w:val="0"/>
        <w:autoSpaceDN w:val="0"/>
        <w:adjustRightInd w:val="0"/>
        <w:spacing w:after="120" w:line="252" w:lineRule="auto"/>
        <w:ind w:left="66"/>
        <w:jc w:val="both"/>
        <w:rPr>
          <w:rFonts w:asciiTheme="minorHAnsi" w:hAnsiTheme="minorHAnsi" w:cstheme="minorHAnsi"/>
        </w:rPr>
      </w:pPr>
    </w:p>
    <w:p w14:paraId="78467D70" w14:textId="12BDBA42" w:rsidR="000E45E8" w:rsidRPr="001F6294" w:rsidRDefault="004D58FB" w:rsidP="007D5638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/>
          <w:color w:val="1A1718"/>
          <w:lang w:eastAsia="en-GB"/>
        </w:rPr>
      </w:pPr>
      <w:r w:rsidRPr="001F6294">
        <w:rPr>
          <w:rFonts w:asciiTheme="minorHAnsi" w:hAnsiTheme="minorHAnsi" w:cstheme="minorHAnsi"/>
          <w:b/>
          <w:color w:val="1A1718"/>
          <w:lang w:eastAsia="en-GB"/>
        </w:rPr>
        <w:t>Person specification</w:t>
      </w:r>
      <w:r w:rsidR="000E45E8" w:rsidRPr="001F6294">
        <w:rPr>
          <w:rFonts w:asciiTheme="minorHAnsi" w:hAnsiTheme="minorHAnsi" w:cstheme="minorHAnsi"/>
          <w:b/>
          <w:color w:val="1A1718"/>
          <w:lang w:eastAsia="en-GB"/>
        </w:rPr>
        <w:t xml:space="preserve"> </w:t>
      </w:r>
    </w:p>
    <w:p w14:paraId="764EBE09" w14:textId="47A67F5D" w:rsidR="00D019BC" w:rsidRPr="001F6294" w:rsidRDefault="00D019BC" w:rsidP="007D5638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</w:rPr>
      </w:pPr>
    </w:p>
    <w:p w14:paraId="0400BD2F" w14:textId="77777777" w:rsidR="001F6294" w:rsidRPr="001F6294" w:rsidRDefault="001F6294" w:rsidP="007D56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hAnsiTheme="minorHAnsi" w:cstheme="minorHAnsi"/>
        </w:rPr>
        <w:t>A passion for and commitment to Gas Safe Charity’s mission, vision and values</w:t>
      </w:r>
    </w:p>
    <w:p w14:paraId="72730BDF" w14:textId="429B6B90" w:rsidR="001F6294" w:rsidRPr="001F6294" w:rsidRDefault="001F6294" w:rsidP="007D56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hAnsiTheme="minorHAnsi" w:cstheme="minorHAnsi"/>
        </w:rPr>
        <w:t xml:space="preserve">Understanding of the legal responsibilities of trusteeship </w:t>
      </w:r>
    </w:p>
    <w:p w14:paraId="3C562379" w14:textId="34B72E2C" w:rsidR="00D019BC" w:rsidRPr="001F6294" w:rsidRDefault="00D019BC" w:rsidP="007D56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hAnsiTheme="minorHAnsi" w:cstheme="minorHAnsi"/>
        </w:rPr>
        <w:t>Good independent judgement and strategic vision</w:t>
      </w:r>
    </w:p>
    <w:p w14:paraId="3B978071" w14:textId="18FA7940" w:rsidR="000E45E8" w:rsidRPr="001F6294" w:rsidRDefault="000E45E8" w:rsidP="007D56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hAnsiTheme="minorHAnsi" w:cstheme="minorHAnsi"/>
        </w:rPr>
        <w:lastRenderedPageBreak/>
        <w:t>Proven ability to work effectively as part of a team</w:t>
      </w:r>
    </w:p>
    <w:p w14:paraId="0A8D4D9C" w14:textId="480A92F5" w:rsidR="00D019BC" w:rsidRPr="001F6294" w:rsidRDefault="001F6294" w:rsidP="007D56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hAnsiTheme="minorHAnsi" w:cstheme="minorHAnsi"/>
        </w:rPr>
        <w:t>Ability and desire to lean about good governance, charity law and any other relevant regulation</w:t>
      </w:r>
    </w:p>
    <w:p w14:paraId="60187AAA" w14:textId="0DE9E6AD" w:rsidR="00D019BC" w:rsidRPr="001F6294" w:rsidRDefault="006B045B" w:rsidP="007D56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Trustees are being sought with k</w:t>
      </w:r>
      <w:r w:rsidR="00D019BC" w:rsidRPr="001F6294">
        <w:rPr>
          <w:rFonts w:asciiTheme="minorHAnsi" w:hAnsiTheme="minorHAnsi" w:cstheme="minorHAnsi"/>
        </w:rPr>
        <w:t xml:space="preserve">nowledge </w:t>
      </w:r>
      <w:r w:rsidR="006F0919" w:rsidRPr="001F6294">
        <w:rPr>
          <w:rFonts w:asciiTheme="minorHAnsi" w:hAnsiTheme="minorHAnsi" w:cstheme="minorHAnsi"/>
        </w:rPr>
        <w:t xml:space="preserve">and </w:t>
      </w:r>
      <w:r w:rsidR="00D019BC" w:rsidRPr="001F6294">
        <w:rPr>
          <w:rFonts w:asciiTheme="minorHAnsi" w:hAnsiTheme="minorHAnsi" w:cstheme="minorHAnsi"/>
        </w:rPr>
        <w:t xml:space="preserve">experience in </w:t>
      </w:r>
      <w:r>
        <w:rPr>
          <w:rFonts w:asciiTheme="minorHAnsi" w:hAnsiTheme="minorHAnsi" w:cstheme="minorHAnsi"/>
        </w:rPr>
        <w:t xml:space="preserve">the </w:t>
      </w:r>
      <w:r w:rsidR="00D019BC" w:rsidRPr="001F6294">
        <w:rPr>
          <w:rFonts w:asciiTheme="minorHAnsi" w:hAnsiTheme="minorHAnsi" w:cstheme="minorHAnsi"/>
        </w:rPr>
        <w:t xml:space="preserve">following </w:t>
      </w:r>
      <w:r w:rsidR="00C564E9">
        <w:rPr>
          <w:rFonts w:asciiTheme="minorHAnsi" w:hAnsiTheme="minorHAnsi" w:cstheme="minorHAnsi"/>
        </w:rPr>
        <w:t xml:space="preserve">specific </w:t>
      </w:r>
      <w:r w:rsidR="00D019BC" w:rsidRPr="001F6294">
        <w:rPr>
          <w:rFonts w:asciiTheme="minorHAnsi" w:hAnsiTheme="minorHAnsi" w:cstheme="minorHAnsi"/>
        </w:rPr>
        <w:t>areas</w:t>
      </w:r>
      <w:r w:rsidR="00C81499">
        <w:rPr>
          <w:rFonts w:asciiTheme="minorHAnsi" w:hAnsiTheme="minorHAnsi" w:cstheme="minorHAnsi"/>
        </w:rPr>
        <w:t>:</w:t>
      </w:r>
    </w:p>
    <w:p w14:paraId="1C03E745" w14:textId="77777777" w:rsidR="006B045B" w:rsidRDefault="000E45E8" w:rsidP="007D5638">
      <w:pPr>
        <w:pStyle w:val="ListParagraph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120" w:line="252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1F6294">
        <w:rPr>
          <w:rFonts w:asciiTheme="minorHAnsi" w:hAnsiTheme="minorHAnsi" w:cstheme="minorHAnsi"/>
        </w:rPr>
        <w:t xml:space="preserve">Broad </w:t>
      </w:r>
      <w:r w:rsidRPr="00C564E9">
        <w:rPr>
          <w:rFonts w:asciiTheme="minorHAnsi" w:hAnsiTheme="minorHAnsi" w:cstheme="minorHAnsi"/>
          <w:b/>
          <w:bCs/>
        </w:rPr>
        <w:t>marketing and communications</w:t>
      </w:r>
      <w:r w:rsidRPr="001F6294">
        <w:rPr>
          <w:rFonts w:asciiTheme="minorHAnsi" w:hAnsiTheme="minorHAnsi" w:cstheme="minorHAnsi"/>
        </w:rPr>
        <w:t xml:space="preserve"> experience in publications, websites and social media</w:t>
      </w:r>
      <w:r w:rsidR="000846DF" w:rsidRPr="001F6294">
        <w:rPr>
          <w:rFonts w:asciiTheme="minorHAnsi" w:hAnsiTheme="minorHAnsi" w:cstheme="minorHAnsi"/>
        </w:rPr>
        <w:t>.</w:t>
      </w:r>
      <w:r w:rsidRPr="001F6294">
        <w:rPr>
          <w:rFonts w:asciiTheme="minorHAnsi" w:hAnsiTheme="minorHAnsi" w:cstheme="minorHAnsi"/>
        </w:rPr>
        <w:t xml:space="preserve"> </w:t>
      </w:r>
      <w:r w:rsidR="006F0919" w:rsidRPr="001F6294">
        <w:rPr>
          <w:rFonts w:asciiTheme="minorHAnsi" w:hAnsiTheme="minorHAnsi" w:cstheme="minorHAnsi"/>
        </w:rPr>
        <w:t xml:space="preserve"> </w:t>
      </w:r>
      <w:r w:rsidR="006B045B">
        <w:rPr>
          <w:rFonts w:asciiTheme="minorHAnsi" w:hAnsiTheme="minorHAnsi" w:cstheme="minorHAnsi"/>
        </w:rPr>
        <w:t xml:space="preserve">An agency has been appointed to manage the Charity’s website and social media </w:t>
      </w:r>
      <w:proofErr w:type="gramStart"/>
      <w:r w:rsidR="006B045B">
        <w:rPr>
          <w:rFonts w:asciiTheme="minorHAnsi" w:hAnsiTheme="minorHAnsi" w:cstheme="minorHAnsi"/>
        </w:rPr>
        <w:t>output</w:t>
      </w:r>
      <w:proofErr w:type="gramEnd"/>
      <w:r w:rsidR="006B045B">
        <w:rPr>
          <w:rFonts w:asciiTheme="minorHAnsi" w:hAnsiTheme="minorHAnsi" w:cstheme="minorHAnsi"/>
        </w:rPr>
        <w:t xml:space="preserve"> and the Trustee will oversee the Charity’s work involving online, social media and video initiatives.  </w:t>
      </w:r>
    </w:p>
    <w:p w14:paraId="1EBF1030" w14:textId="6F5E6D73" w:rsidR="000E45E8" w:rsidRPr="001F6294" w:rsidRDefault="00C564E9" w:rsidP="007D5638">
      <w:pPr>
        <w:pStyle w:val="ListParagraph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120" w:line="252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C564E9">
        <w:rPr>
          <w:rFonts w:asciiTheme="minorHAnsi" w:hAnsiTheme="minorHAnsi" w:cstheme="minorHAnsi"/>
          <w:b/>
          <w:bCs/>
        </w:rPr>
        <w:t>F</w:t>
      </w:r>
      <w:r w:rsidR="00EB23AB" w:rsidRPr="00C564E9">
        <w:rPr>
          <w:rFonts w:asciiTheme="minorHAnsi" w:hAnsiTheme="minorHAnsi" w:cstheme="minorHAnsi"/>
          <w:b/>
          <w:bCs/>
        </w:rPr>
        <w:t>inancial qualification or experience</w:t>
      </w:r>
      <w:r w:rsidR="00EB23AB">
        <w:rPr>
          <w:rFonts w:asciiTheme="minorHAnsi" w:hAnsiTheme="minorHAnsi" w:cstheme="minorHAnsi"/>
        </w:rPr>
        <w:t xml:space="preserve"> to oversee the Charity’s finances (including the Budget and Year End Accounts) and advise on strategic matters and any financial issues that arise. </w:t>
      </w:r>
    </w:p>
    <w:p w14:paraId="3B87F39E" w14:textId="3AA4420F" w:rsidR="009F7CB7" w:rsidRDefault="000846DF" w:rsidP="007D5638">
      <w:pPr>
        <w:pStyle w:val="ListParagraph"/>
        <w:numPr>
          <w:ilvl w:val="0"/>
          <w:numId w:val="8"/>
        </w:numPr>
        <w:spacing w:after="120" w:line="252" w:lineRule="auto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 w:rsidRPr="001F6294">
        <w:rPr>
          <w:rFonts w:asciiTheme="minorHAnsi" w:hAnsiTheme="minorHAnsi" w:cstheme="minorHAnsi"/>
          <w:bCs/>
        </w:rPr>
        <w:t xml:space="preserve">The ability to focus and advise on the broad strategy and programmes run by the Charity in the context of good governance and decision-making.  This is comparable to the role of a </w:t>
      </w:r>
      <w:r w:rsidRPr="00C564E9">
        <w:rPr>
          <w:rFonts w:asciiTheme="minorHAnsi" w:hAnsiTheme="minorHAnsi" w:cstheme="minorHAnsi"/>
          <w:b/>
        </w:rPr>
        <w:t>non-executive director</w:t>
      </w:r>
      <w:r w:rsidRPr="001F6294">
        <w:rPr>
          <w:rFonts w:asciiTheme="minorHAnsi" w:hAnsiTheme="minorHAnsi" w:cstheme="minorHAnsi"/>
          <w:bCs/>
        </w:rPr>
        <w:t>, sharing the responsibility of all Trustees for good governance with a focus on outcomes and taking a wide-ranging view of priorities and effectiveness</w:t>
      </w:r>
    </w:p>
    <w:p w14:paraId="04CFC251" w14:textId="77777777" w:rsidR="00EB23AB" w:rsidRDefault="00EB23AB" w:rsidP="00EB23AB">
      <w:pPr>
        <w:spacing w:after="120" w:line="252" w:lineRule="auto"/>
        <w:jc w:val="both"/>
        <w:rPr>
          <w:rFonts w:asciiTheme="minorHAnsi" w:hAnsiTheme="minorHAnsi" w:cstheme="minorHAnsi"/>
          <w:bCs/>
        </w:rPr>
      </w:pPr>
    </w:p>
    <w:p w14:paraId="160F7175" w14:textId="77777777" w:rsidR="00EB23AB" w:rsidRDefault="00EB23AB" w:rsidP="00EB23AB">
      <w:pPr>
        <w:spacing w:after="120" w:line="252" w:lineRule="auto"/>
        <w:jc w:val="both"/>
        <w:rPr>
          <w:rFonts w:asciiTheme="minorHAnsi" w:hAnsiTheme="minorHAnsi" w:cstheme="minorHAnsi"/>
          <w:bCs/>
        </w:rPr>
      </w:pPr>
    </w:p>
    <w:p w14:paraId="7A400E0F" w14:textId="77777777" w:rsidR="00EB23AB" w:rsidRPr="00EB23AB" w:rsidRDefault="00EB23AB" w:rsidP="00EB23AB">
      <w:pPr>
        <w:spacing w:after="120" w:line="252" w:lineRule="auto"/>
        <w:jc w:val="both"/>
        <w:rPr>
          <w:rFonts w:asciiTheme="minorHAnsi" w:hAnsiTheme="minorHAnsi" w:cstheme="minorHAnsi"/>
          <w:bCs/>
        </w:rPr>
      </w:pPr>
    </w:p>
    <w:p w14:paraId="251CF983" w14:textId="5A40CCBC" w:rsidR="004D58FB" w:rsidRPr="001F6294" w:rsidRDefault="004D58FB" w:rsidP="007D5638">
      <w:pPr>
        <w:spacing w:line="252" w:lineRule="auto"/>
        <w:rPr>
          <w:rFonts w:asciiTheme="minorHAnsi" w:hAnsiTheme="minorHAnsi" w:cstheme="minorHAnsi"/>
        </w:rPr>
      </w:pPr>
    </w:p>
    <w:p w14:paraId="02FB36AC" w14:textId="6ABE507E" w:rsidR="004D58FB" w:rsidRPr="001F6294" w:rsidRDefault="009F7CB7" w:rsidP="007D5638">
      <w:pPr>
        <w:spacing w:line="252" w:lineRule="auto"/>
        <w:rPr>
          <w:rFonts w:asciiTheme="minorHAnsi" w:hAnsiTheme="minorHAnsi" w:cstheme="minorHAnsi"/>
        </w:rPr>
      </w:pPr>
      <w:r w:rsidRPr="001F6294">
        <w:rPr>
          <w:rFonts w:asciiTheme="minorHAnsi" w:hAnsiTheme="minorHAnsi" w:cstheme="minorHAnsi"/>
          <w:b/>
        </w:rPr>
        <w:t xml:space="preserve"> </w:t>
      </w:r>
    </w:p>
    <w:sectPr w:rsidR="004D58FB" w:rsidRPr="001F6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D96"/>
    <w:multiLevelType w:val="hybridMultilevel"/>
    <w:tmpl w:val="3334A0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314F"/>
    <w:multiLevelType w:val="hybridMultilevel"/>
    <w:tmpl w:val="B5B4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47D8"/>
    <w:multiLevelType w:val="hybridMultilevel"/>
    <w:tmpl w:val="F8D6B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24A"/>
    <w:multiLevelType w:val="hybridMultilevel"/>
    <w:tmpl w:val="34CCE63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136271"/>
    <w:multiLevelType w:val="multilevel"/>
    <w:tmpl w:val="5AEEC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2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22F90"/>
    <w:multiLevelType w:val="hybridMultilevel"/>
    <w:tmpl w:val="A2E4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8615F"/>
    <w:multiLevelType w:val="hybridMultilevel"/>
    <w:tmpl w:val="37F6356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96222"/>
    <w:multiLevelType w:val="hybridMultilevel"/>
    <w:tmpl w:val="DBD28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D2979"/>
    <w:multiLevelType w:val="hybridMultilevel"/>
    <w:tmpl w:val="8CC03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91214"/>
    <w:multiLevelType w:val="hybridMultilevel"/>
    <w:tmpl w:val="9D5A1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66554"/>
    <w:multiLevelType w:val="hybridMultilevel"/>
    <w:tmpl w:val="1FBC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6093">
    <w:abstractNumId w:val="4"/>
  </w:num>
  <w:num w:numId="2" w16cid:durableId="1338457541">
    <w:abstractNumId w:val="9"/>
  </w:num>
  <w:num w:numId="3" w16cid:durableId="1608388138">
    <w:abstractNumId w:val="8"/>
  </w:num>
  <w:num w:numId="4" w16cid:durableId="392582441">
    <w:abstractNumId w:val="10"/>
  </w:num>
  <w:num w:numId="5" w16cid:durableId="1535146613">
    <w:abstractNumId w:val="5"/>
  </w:num>
  <w:num w:numId="6" w16cid:durableId="2090424631">
    <w:abstractNumId w:val="1"/>
  </w:num>
  <w:num w:numId="7" w16cid:durableId="1473791443">
    <w:abstractNumId w:val="6"/>
  </w:num>
  <w:num w:numId="8" w16cid:durableId="1909530072">
    <w:abstractNumId w:val="3"/>
  </w:num>
  <w:num w:numId="9" w16cid:durableId="409155198">
    <w:abstractNumId w:val="2"/>
  </w:num>
  <w:num w:numId="10" w16cid:durableId="1224173518">
    <w:abstractNumId w:val="7"/>
  </w:num>
  <w:num w:numId="11" w16cid:durableId="113560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FB"/>
    <w:rsid w:val="000846DF"/>
    <w:rsid w:val="000E45E8"/>
    <w:rsid w:val="001F6294"/>
    <w:rsid w:val="00212A5A"/>
    <w:rsid w:val="00472B33"/>
    <w:rsid w:val="004D58FB"/>
    <w:rsid w:val="00570389"/>
    <w:rsid w:val="006B045B"/>
    <w:rsid w:val="006F0919"/>
    <w:rsid w:val="007041B4"/>
    <w:rsid w:val="007817B3"/>
    <w:rsid w:val="007D5638"/>
    <w:rsid w:val="00901BFE"/>
    <w:rsid w:val="009A6D2F"/>
    <w:rsid w:val="009F7CB7"/>
    <w:rsid w:val="00A008D5"/>
    <w:rsid w:val="00B92AAB"/>
    <w:rsid w:val="00C564E9"/>
    <w:rsid w:val="00C81499"/>
    <w:rsid w:val="00D019BC"/>
    <w:rsid w:val="00E0677E"/>
    <w:rsid w:val="00EB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4E97"/>
  <w15:chartTrackingRefBased/>
  <w15:docId w15:val="{3716114A-1AE3-4E6C-A0A7-0AE88CCB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3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Nolan</dc:creator>
  <cp:keywords/>
  <dc:description/>
  <cp:lastModifiedBy>shop</cp:lastModifiedBy>
  <cp:revision>3</cp:revision>
  <cp:lastPrinted>2026-01-27T21:30:00Z</cp:lastPrinted>
  <dcterms:created xsi:type="dcterms:W3CDTF">2026-01-14T04:54:00Z</dcterms:created>
  <dcterms:modified xsi:type="dcterms:W3CDTF">2026-01-27T21:30:00Z</dcterms:modified>
</cp:coreProperties>
</file>